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2B" w:rsidRDefault="0047272B" w:rsidP="0047272B">
      <w:pPr>
        <w:rPr>
          <w:rFonts w:ascii="Verdana" w:hAnsi="Verdana"/>
          <w:b/>
          <w:bCs/>
          <w:sz w:val="20"/>
          <w:szCs w:val="20"/>
        </w:rPr>
      </w:pPr>
      <w:r>
        <w:rPr>
          <w:rFonts w:ascii="Verdana" w:hAnsi="Verdana"/>
          <w:b/>
          <w:bCs/>
          <w:sz w:val="20"/>
          <w:szCs w:val="20"/>
        </w:rPr>
        <w:t>APR/VEMA/     /2019/P</w:t>
      </w:r>
    </w:p>
    <w:p w:rsidR="0047272B" w:rsidRDefault="0047272B" w:rsidP="0047272B">
      <w:pPr>
        <w:rPr>
          <w:rFonts w:ascii="Verdana" w:hAnsi="Verdana"/>
          <w:sz w:val="20"/>
          <w:szCs w:val="20"/>
          <w:shd w:val="clear" w:color="auto" w:fill="FFFF00"/>
        </w:rPr>
      </w:pPr>
    </w:p>
    <w:p w:rsidR="0047272B" w:rsidRDefault="0047272B" w:rsidP="0047272B">
      <w:pPr>
        <w:rPr>
          <w:rFonts w:ascii="Verdana" w:hAnsi="Verdana"/>
          <w:b/>
          <w:bCs/>
          <w:sz w:val="20"/>
          <w:szCs w:val="20"/>
        </w:rPr>
      </w:pPr>
      <w:r>
        <w:rPr>
          <w:rFonts w:ascii="Verdana" w:hAnsi="Verdana"/>
          <w:sz w:val="20"/>
          <w:szCs w:val="20"/>
        </w:rPr>
        <w:t>Spett.le</w:t>
      </w:r>
    </w:p>
    <w:p w:rsidR="0047272B" w:rsidRDefault="0047272B" w:rsidP="0047272B">
      <w:pPr>
        <w:rPr>
          <w:rFonts w:ascii="Verdana" w:hAnsi="Verdana"/>
          <w:b/>
          <w:bCs/>
          <w:sz w:val="20"/>
          <w:szCs w:val="20"/>
        </w:rPr>
      </w:pPr>
      <w:r>
        <w:rPr>
          <w:rFonts w:ascii="Verdana" w:hAnsi="Verdana"/>
          <w:b/>
          <w:bCs/>
          <w:sz w:val="20"/>
          <w:szCs w:val="20"/>
        </w:rPr>
        <w:t>_______________</w:t>
      </w:r>
    </w:p>
    <w:p w:rsidR="0047272B" w:rsidRDefault="0047272B" w:rsidP="0047272B">
      <w:pPr>
        <w:rPr>
          <w:rFonts w:ascii="Verdana" w:hAnsi="Verdana"/>
          <w:sz w:val="20"/>
          <w:szCs w:val="20"/>
        </w:rPr>
      </w:pPr>
    </w:p>
    <w:p w:rsidR="0047272B" w:rsidRDefault="0047272B" w:rsidP="0047272B">
      <w:pPr>
        <w:rPr>
          <w:rFonts w:ascii="Verdana" w:hAnsi="Verdana"/>
          <w:sz w:val="20"/>
          <w:szCs w:val="20"/>
          <w:shd w:val="clear" w:color="auto" w:fill="FFFF00"/>
        </w:rPr>
      </w:pPr>
      <w:r>
        <w:rPr>
          <w:rFonts w:ascii="Verdana" w:hAnsi="Verdana"/>
          <w:b/>
          <w:bCs/>
          <w:sz w:val="20"/>
          <w:szCs w:val="20"/>
        </w:rPr>
        <w:t>c.a. Legale Rappresentante</w:t>
      </w:r>
    </w:p>
    <w:p w:rsidR="0047272B" w:rsidRDefault="0047272B" w:rsidP="0047272B">
      <w:pPr>
        <w:rPr>
          <w:rFonts w:ascii="Verdana" w:hAnsi="Verdana"/>
          <w:sz w:val="20"/>
          <w:szCs w:val="20"/>
          <w:shd w:val="clear" w:color="auto" w:fill="FFFF00"/>
        </w:rPr>
      </w:pPr>
    </w:p>
    <w:p w:rsidR="0047272B" w:rsidRDefault="0047272B" w:rsidP="0047272B">
      <w:pPr>
        <w:jc w:val="both"/>
        <w:rPr>
          <w:rFonts w:ascii="Verdana" w:hAnsi="Verdana"/>
          <w:sz w:val="20"/>
          <w:szCs w:val="20"/>
        </w:rPr>
      </w:pPr>
      <w:r>
        <w:rPr>
          <w:rFonts w:ascii="Verdana" w:hAnsi="Verdana"/>
          <w:sz w:val="20"/>
          <w:szCs w:val="20"/>
        </w:rPr>
        <w:t xml:space="preserve">Oggetto: Eni SpA - Invito al processo di qualifica per inserimento in Albo Fornitori </w:t>
      </w:r>
    </w:p>
    <w:p w:rsidR="0047272B" w:rsidRDefault="0047272B" w:rsidP="0047272B">
      <w:pPr>
        <w:jc w:val="both"/>
        <w:rPr>
          <w:rFonts w:ascii="Verdana" w:hAnsi="Verdana"/>
          <w:b/>
          <w:bCs/>
          <w:sz w:val="20"/>
          <w:szCs w:val="20"/>
        </w:rPr>
      </w:pPr>
    </w:p>
    <w:p w:rsidR="0047272B" w:rsidRDefault="0047272B" w:rsidP="0047272B">
      <w:pPr>
        <w:jc w:val="both"/>
        <w:rPr>
          <w:rFonts w:ascii="Verdana" w:hAnsi="Verdana"/>
          <w:sz w:val="20"/>
          <w:szCs w:val="20"/>
        </w:rPr>
      </w:pPr>
      <w:r>
        <w:rPr>
          <w:rFonts w:ascii="Verdana" w:hAnsi="Verdana"/>
          <w:sz w:val="20"/>
          <w:szCs w:val="20"/>
        </w:rPr>
        <w:t>Eni S.p.A. ha il piacere di esprimere il proprio interesse verso la Vs. società, e di invitarVi al proprio processo di qualifica con lo scopo di valutare un eventuale inserimento nell’ Albo Fornitori Eni relativamente ai/al sotto elencati/o Gruppi/o Merce.</w:t>
      </w:r>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t>Il processo di Qualifica Eni ha l’obiettivo di valutare le capacità tecniche, organizzative e gestionali, il rispetto dei requisiti HSEQ, l’affidabilità etica reputazionale, la solidità economico finanziaria dei fornitori, in conformità agli standard definiti da Eni e basati su best practice internazionali, nell’ottica di crescita e sviluppo del rapporto con il fornitore.</w:t>
      </w:r>
    </w:p>
    <w:p w:rsidR="0047272B" w:rsidRDefault="0047272B" w:rsidP="0047272B">
      <w:pPr>
        <w:jc w:val="both"/>
        <w:rPr>
          <w:rFonts w:ascii="Verdana" w:hAnsi="Verdana"/>
          <w:sz w:val="20"/>
          <w:szCs w:val="20"/>
        </w:rPr>
      </w:pPr>
      <w:r>
        <w:rPr>
          <w:rFonts w:ascii="Verdana" w:hAnsi="Verdana"/>
          <w:sz w:val="20"/>
          <w:szCs w:val="20"/>
        </w:rPr>
        <w:t xml:space="preserve">Al fine dell’attivazione del processo di qualifica, Vi invitiamo a prendere visione </w:t>
      </w:r>
      <w:r w:rsidR="00A045D1">
        <w:rPr>
          <w:rFonts w:ascii="Verdana" w:hAnsi="Verdana"/>
          <w:sz w:val="20"/>
          <w:szCs w:val="20"/>
        </w:rPr>
        <w:t>e di sottoscrivere il</w:t>
      </w:r>
      <w:r>
        <w:rPr>
          <w:rFonts w:ascii="Verdana" w:hAnsi="Verdana"/>
          <w:sz w:val="20"/>
          <w:szCs w:val="20"/>
        </w:rPr>
        <w:t xml:space="preserve"> Codice </w:t>
      </w:r>
      <w:r w:rsidR="00B050A3">
        <w:rPr>
          <w:rFonts w:ascii="Verdana" w:hAnsi="Verdana"/>
          <w:sz w:val="20"/>
          <w:szCs w:val="20"/>
        </w:rPr>
        <w:t>di Condotta Fornitori</w:t>
      </w:r>
      <w:r>
        <w:rPr>
          <w:rFonts w:ascii="Verdana" w:hAnsi="Verdana"/>
          <w:sz w:val="20"/>
          <w:szCs w:val="20"/>
        </w:rPr>
        <w:t xml:space="preserve"> disponibile sul nostro sito: </w:t>
      </w:r>
      <w:hyperlink r:id="rId7" w:history="1">
        <w:r>
          <w:rPr>
            <w:rStyle w:val="Collegamentoipertestuale"/>
            <w:rFonts w:ascii="Verdana" w:hAnsi="Verdana"/>
            <w:color w:val="auto"/>
            <w:sz w:val="20"/>
            <w:szCs w:val="20"/>
          </w:rPr>
          <w:t>www.eni.com</w:t>
        </w:r>
      </w:hyperlink>
      <w:r>
        <w:rPr>
          <w:rFonts w:ascii="Verdana" w:hAnsi="Verdana"/>
          <w:sz w:val="20"/>
          <w:szCs w:val="20"/>
        </w:rPr>
        <w:t xml:space="preserve">, e di sottoscrivere la Dichiarazione di Compliance presente nell’allegato </w:t>
      </w:r>
      <w:r>
        <w:rPr>
          <w:rFonts w:ascii="Verdana" w:hAnsi="Verdana"/>
          <w:i/>
          <w:iCs/>
          <w:sz w:val="20"/>
          <w:szCs w:val="20"/>
        </w:rPr>
        <w:t>richieste documentali</w:t>
      </w:r>
      <w:r>
        <w:rPr>
          <w:rFonts w:ascii="Verdana" w:hAnsi="Verdana"/>
          <w:sz w:val="20"/>
          <w:szCs w:val="20"/>
        </w:rPr>
        <w:t xml:space="preserve">. </w:t>
      </w:r>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t>I/il Gruppi/o Merce per i/il quali/e sarà attivato il processo di qualifica della Vostra Società sono /è i/il seguenti/e:</w:t>
      </w:r>
      <w:r>
        <w:rPr>
          <w:rFonts w:ascii="Verdana" w:hAnsi="Verdana"/>
          <w:b/>
          <w:bCs/>
          <w:sz w:val="20"/>
          <w:szCs w:val="20"/>
        </w:rPr>
        <w:t xml:space="preserve"> </w:t>
      </w:r>
    </w:p>
    <w:p w:rsidR="0047272B" w:rsidRDefault="0047272B" w:rsidP="0047272B">
      <w:pPr>
        <w:jc w:val="both"/>
        <w:rPr>
          <w:rFonts w:ascii="Verdana" w:hAnsi="Verdana"/>
          <w:sz w:val="20"/>
          <w:szCs w:val="20"/>
        </w:rPr>
      </w:pPr>
    </w:p>
    <w:tbl>
      <w:tblPr>
        <w:tblW w:w="9736" w:type="dxa"/>
        <w:tblInd w:w="108" w:type="dxa"/>
        <w:tblCellMar>
          <w:left w:w="0" w:type="dxa"/>
          <w:right w:w="0" w:type="dxa"/>
        </w:tblCellMar>
        <w:tblLook w:val="04A0" w:firstRow="1" w:lastRow="0" w:firstColumn="1" w:lastColumn="0" w:noHBand="0" w:noVBand="1"/>
      </w:tblPr>
      <w:tblGrid>
        <w:gridCol w:w="1550"/>
        <w:gridCol w:w="2561"/>
        <w:gridCol w:w="1939"/>
        <w:gridCol w:w="1112"/>
        <w:gridCol w:w="1106"/>
        <w:gridCol w:w="1468"/>
      </w:tblGrid>
      <w:tr w:rsidR="0047272B" w:rsidTr="0047272B">
        <w:trPr>
          <w:trHeight w:val="421"/>
        </w:trPr>
        <w:tc>
          <w:tcPr>
            <w:tcW w:w="15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7272B" w:rsidRDefault="0047272B">
            <w:pPr>
              <w:ind w:right="-142"/>
              <w:jc w:val="center"/>
              <w:rPr>
                <w:rFonts w:ascii="Verdana" w:hAnsi="Verdana"/>
                <w:sz w:val="20"/>
                <w:szCs w:val="20"/>
              </w:rPr>
            </w:pPr>
            <w:r>
              <w:rPr>
                <w:rFonts w:ascii="Verdana" w:hAnsi="Verdana"/>
                <w:i/>
                <w:iCs/>
                <w:sz w:val="20"/>
                <w:szCs w:val="20"/>
              </w:rPr>
              <w:t>Codice GM</w:t>
            </w:r>
          </w:p>
        </w:tc>
        <w:tc>
          <w:tcPr>
            <w:tcW w:w="2561" w:type="dxa"/>
            <w:tcBorders>
              <w:top w:val="single" w:sz="8" w:space="0" w:color="auto"/>
              <w:left w:val="nil"/>
              <w:bottom w:val="single" w:sz="8" w:space="0" w:color="auto"/>
              <w:right w:val="single" w:sz="8" w:space="0" w:color="auto"/>
            </w:tcBorders>
            <w:shd w:val="clear" w:color="auto" w:fill="D9D9D9"/>
            <w:vAlign w:val="center"/>
            <w:hideMark/>
          </w:tcPr>
          <w:p w:rsidR="0047272B" w:rsidRDefault="0047272B">
            <w:pPr>
              <w:ind w:right="-142"/>
              <w:jc w:val="center"/>
              <w:rPr>
                <w:rFonts w:ascii="Verdana" w:hAnsi="Verdana"/>
                <w:i/>
                <w:iCs/>
                <w:sz w:val="20"/>
                <w:szCs w:val="20"/>
              </w:rPr>
            </w:pPr>
            <w:r>
              <w:rPr>
                <w:rFonts w:ascii="Verdana" w:hAnsi="Verdana"/>
                <w:i/>
                <w:iCs/>
                <w:sz w:val="20"/>
                <w:szCs w:val="20"/>
              </w:rPr>
              <w:t>Descrizione</w:t>
            </w:r>
          </w:p>
        </w:tc>
        <w:tc>
          <w:tcPr>
            <w:tcW w:w="1939" w:type="dxa"/>
            <w:tcBorders>
              <w:top w:val="single" w:sz="8" w:space="0" w:color="auto"/>
              <w:left w:val="nil"/>
              <w:bottom w:val="single" w:sz="8" w:space="0" w:color="auto"/>
              <w:right w:val="single" w:sz="8" w:space="0" w:color="auto"/>
            </w:tcBorders>
            <w:shd w:val="clear" w:color="auto" w:fill="D9D9D9"/>
            <w:vAlign w:val="center"/>
            <w:hideMark/>
          </w:tcPr>
          <w:p w:rsidR="0047272B" w:rsidRDefault="0047272B">
            <w:pPr>
              <w:ind w:left="82" w:right="132"/>
              <w:jc w:val="center"/>
              <w:rPr>
                <w:rFonts w:ascii="Verdana" w:hAnsi="Verdana"/>
                <w:sz w:val="20"/>
                <w:szCs w:val="20"/>
              </w:rPr>
            </w:pPr>
            <w:r>
              <w:rPr>
                <w:rFonts w:ascii="Verdana" w:hAnsi="Verdana"/>
                <w:sz w:val="20"/>
                <w:szCs w:val="20"/>
              </w:rPr>
              <w:t>Gruppo merce Caratterizzato</w:t>
            </w:r>
          </w:p>
        </w:tc>
        <w:tc>
          <w:tcPr>
            <w:tcW w:w="1112" w:type="dxa"/>
            <w:tcBorders>
              <w:top w:val="single" w:sz="8" w:space="0" w:color="auto"/>
              <w:left w:val="nil"/>
              <w:bottom w:val="single" w:sz="8" w:space="0" w:color="auto"/>
              <w:right w:val="single" w:sz="8" w:space="0" w:color="auto"/>
            </w:tcBorders>
            <w:shd w:val="clear" w:color="auto" w:fill="D9D9D9"/>
            <w:hideMark/>
          </w:tcPr>
          <w:p w:rsidR="0047272B" w:rsidRDefault="0047272B">
            <w:pPr>
              <w:ind w:right="-142"/>
              <w:jc w:val="center"/>
              <w:rPr>
                <w:rFonts w:ascii="Verdana" w:hAnsi="Verdana"/>
                <w:i/>
                <w:iCs/>
                <w:sz w:val="20"/>
                <w:szCs w:val="20"/>
              </w:rPr>
            </w:pPr>
            <w:r>
              <w:rPr>
                <w:rFonts w:ascii="Verdana" w:hAnsi="Verdana"/>
                <w:i/>
                <w:iCs/>
                <w:sz w:val="20"/>
                <w:szCs w:val="20"/>
              </w:rPr>
              <w:t>Criticità Business</w:t>
            </w:r>
          </w:p>
        </w:tc>
        <w:tc>
          <w:tcPr>
            <w:tcW w:w="1106" w:type="dxa"/>
            <w:tcBorders>
              <w:top w:val="single" w:sz="8" w:space="0" w:color="auto"/>
              <w:left w:val="nil"/>
              <w:bottom w:val="single" w:sz="8" w:space="0" w:color="auto"/>
              <w:right w:val="single" w:sz="8" w:space="0" w:color="auto"/>
            </w:tcBorders>
            <w:shd w:val="clear" w:color="auto" w:fill="D9D9D9"/>
            <w:hideMark/>
          </w:tcPr>
          <w:p w:rsidR="0047272B" w:rsidRDefault="0047272B">
            <w:pPr>
              <w:ind w:right="-142"/>
              <w:jc w:val="center"/>
              <w:rPr>
                <w:rFonts w:ascii="Verdana" w:hAnsi="Verdana"/>
                <w:i/>
                <w:iCs/>
                <w:sz w:val="20"/>
                <w:szCs w:val="20"/>
              </w:rPr>
            </w:pPr>
            <w:r>
              <w:rPr>
                <w:rFonts w:ascii="Verdana" w:hAnsi="Verdana"/>
                <w:i/>
                <w:iCs/>
                <w:sz w:val="20"/>
                <w:szCs w:val="20"/>
              </w:rPr>
              <w:t>Criticità</w:t>
            </w:r>
          </w:p>
          <w:p w:rsidR="0047272B" w:rsidRDefault="0047272B">
            <w:pPr>
              <w:ind w:right="-142"/>
              <w:jc w:val="center"/>
              <w:rPr>
                <w:rFonts w:ascii="Verdana" w:hAnsi="Verdana"/>
                <w:i/>
                <w:iCs/>
                <w:sz w:val="20"/>
                <w:szCs w:val="20"/>
              </w:rPr>
            </w:pPr>
            <w:r>
              <w:rPr>
                <w:rFonts w:ascii="Verdana" w:hAnsi="Verdana"/>
                <w:i/>
                <w:iCs/>
                <w:sz w:val="20"/>
                <w:szCs w:val="20"/>
              </w:rPr>
              <w:t>HSE</w:t>
            </w:r>
          </w:p>
        </w:tc>
        <w:tc>
          <w:tcPr>
            <w:tcW w:w="1468" w:type="dxa"/>
            <w:tcBorders>
              <w:top w:val="single" w:sz="8" w:space="0" w:color="auto"/>
              <w:left w:val="nil"/>
              <w:bottom w:val="single" w:sz="8" w:space="0" w:color="auto"/>
              <w:right w:val="single" w:sz="8" w:space="0" w:color="auto"/>
            </w:tcBorders>
            <w:shd w:val="clear" w:color="auto" w:fill="D9D9D9"/>
            <w:hideMark/>
          </w:tcPr>
          <w:p w:rsidR="0047272B" w:rsidRDefault="0047272B">
            <w:pPr>
              <w:ind w:right="-142"/>
              <w:jc w:val="center"/>
              <w:rPr>
                <w:rFonts w:ascii="Verdana" w:hAnsi="Verdana"/>
                <w:i/>
                <w:iCs/>
                <w:sz w:val="20"/>
                <w:szCs w:val="20"/>
              </w:rPr>
            </w:pPr>
            <w:r>
              <w:rPr>
                <w:rFonts w:ascii="Verdana" w:hAnsi="Verdana"/>
                <w:i/>
                <w:iCs/>
                <w:sz w:val="20"/>
                <w:szCs w:val="20"/>
              </w:rPr>
              <w:t>Avviso di qualifica UE</w:t>
            </w:r>
          </w:p>
        </w:tc>
      </w:tr>
      <w:tr w:rsidR="0047272B" w:rsidTr="0047272B">
        <w:trPr>
          <w:trHeight w:val="30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2B" w:rsidRDefault="0047272B">
            <w:pPr>
              <w:jc w:val="both"/>
              <w:rPr>
                <w:rFonts w:ascii="Verdana" w:hAnsi="Verdana"/>
                <w:sz w:val="20"/>
                <w:szCs w:val="20"/>
              </w:rPr>
            </w:pPr>
            <w:r>
              <w:rPr>
                <w:rFonts w:ascii="Verdana" w:hAnsi="Verdana"/>
                <w:b/>
                <w:bCs/>
                <w:sz w:val="20"/>
                <w:szCs w:val="20"/>
                <w:lang w:val="en-GB"/>
              </w:rPr>
              <w:t>XX00YY00</w:t>
            </w:r>
          </w:p>
        </w:tc>
        <w:tc>
          <w:tcPr>
            <w:tcW w:w="2561" w:type="dxa"/>
            <w:tcBorders>
              <w:top w:val="nil"/>
              <w:left w:val="nil"/>
              <w:bottom w:val="single" w:sz="8" w:space="0" w:color="auto"/>
              <w:right w:val="single" w:sz="8" w:space="0" w:color="auto"/>
            </w:tcBorders>
          </w:tcPr>
          <w:p w:rsidR="0047272B" w:rsidRDefault="0047272B">
            <w:pPr>
              <w:jc w:val="both"/>
              <w:rPr>
                <w:rFonts w:ascii="Verdana" w:hAnsi="Verdana"/>
                <w:b/>
                <w:bCs/>
                <w:sz w:val="20"/>
                <w:szCs w:val="20"/>
              </w:rPr>
            </w:pPr>
          </w:p>
        </w:tc>
        <w:tc>
          <w:tcPr>
            <w:tcW w:w="1939" w:type="dxa"/>
            <w:tcBorders>
              <w:top w:val="nil"/>
              <w:left w:val="nil"/>
              <w:bottom w:val="single" w:sz="8" w:space="0" w:color="auto"/>
              <w:right w:val="single" w:sz="8" w:space="0" w:color="auto"/>
            </w:tcBorders>
          </w:tcPr>
          <w:p w:rsidR="0047272B" w:rsidRDefault="0047272B">
            <w:pPr>
              <w:jc w:val="both"/>
              <w:rPr>
                <w:rFonts w:ascii="Verdana" w:hAnsi="Verdana"/>
                <w:b/>
                <w:bCs/>
                <w:color w:val="FF0000"/>
                <w:sz w:val="20"/>
                <w:szCs w:val="20"/>
              </w:rPr>
            </w:pPr>
          </w:p>
        </w:tc>
        <w:tc>
          <w:tcPr>
            <w:tcW w:w="1112"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c>
          <w:tcPr>
            <w:tcW w:w="1106"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c>
          <w:tcPr>
            <w:tcW w:w="1468"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r>
      <w:tr w:rsidR="0047272B" w:rsidTr="0047272B">
        <w:trPr>
          <w:trHeight w:val="30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2B" w:rsidRDefault="0047272B">
            <w:pPr>
              <w:jc w:val="both"/>
              <w:rPr>
                <w:rFonts w:ascii="Verdana" w:hAnsi="Verdana"/>
                <w:b/>
                <w:bCs/>
                <w:sz w:val="20"/>
                <w:szCs w:val="20"/>
                <w:lang w:val="en-GB"/>
              </w:rPr>
            </w:pPr>
            <w:r>
              <w:rPr>
                <w:rFonts w:ascii="Verdana" w:hAnsi="Verdana"/>
                <w:b/>
                <w:bCs/>
                <w:sz w:val="20"/>
                <w:szCs w:val="20"/>
                <w:lang w:val="en-GB"/>
              </w:rPr>
              <w:t>XX00YY00</w:t>
            </w:r>
          </w:p>
        </w:tc>
        <w:tc>
          <w:tcPr>
            <w:tcW w:w="2561"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c>
          <w:tcPr>
            <w:tcW w:w="1939" w:type="dxa"/>
            <w:tcBorders>
              <w:top w:val="nil"/>
              <w:left w:val="nil"/>
              <w:bottom w:val="single" w:sz="8" w:space="0" w:color="auto"/>
              <w:right w:val="single" w:sz="8" w:space="0" w:color="auto"/>
            </w:tcBorders>
          </w:tcPr>
          <w:p w:rsidR="0047272B" w:rsidRDefault="0047272B">
            <w:pPr>
              <w:jc w:val="both"/>
              <w:rPr>
                <w:rFonts w:ascii="Verdana" w:hAnsi="Verdana"/>
                <w:color w:val="FF0000"/>
                <w:sz w:val="20"/>
                <w:szCs w:val="20"/>
              </w:rPr>
            </w:pPr>
          </w:p>
        </w:tc>
        <w:tc>
          <w:tcPr>
            <w:tcW w:w="1112"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c>
          <w:tcPr>
            <w:tcW w:w="1106"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c>
          <w:tcPr>
            <w:tcW w:w="1468" w:type="dxa"/>
            <w:tcBorders>
              <w:top w:val="nil"/>
              <w:left w:val="nil"/>
              <w:bottom w:val="single" w:sz="8" w:space="0" w:color="auto"/>
              <w:right w:val="single" w:sz="8" w:space="0" w:color="auto"/>
            </w:tcBorders>
          </w:tcPr>
          <w:p w:rsidR="0047272B" w:rsidRDefault="0047272B">
            <w:pPr>
              <w:jc w:val="both"/>
              <w:rPr>
                <w:rFonts w:ascii="Verdana" w:hAnsi="Verdana"/>
                <w:sz w:val="20"/>
                <w:szCs w:val="20"/>
              </w:rPr>
            </w:pPr>
          </w:p>
        </w:tc>
      </w:tr>
    </w:tbl>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t xml:space="preserve">Il processo di qualifica </w:t>
      </w:r>
      <w:r>
        <w:rPr>
          <w:rFonts w:ascii="Verdana" w:hAnsi="Verdana"/>
          <w:b/>
          <w:bCs/>
          <w:sz w:val="20"/>
          <w:szCs w:val="20"/>
        </w:rPr>
        <w:t>è a titolo oneroso;</w:t>
      </w:r>
      <w:r>
        <w:rPr>
          <w:rFonts w:ascii="Verdana" w:hAnsi="Verdana"/>
          <w:sz w:val="20"/>
          <w:szCs w:val="20"/>
        </w:rPr>
        <w:t xml:space="preserve"> tale contributo è da intendersi a parziale copertura delle spese interne Eni sostenute per svolgere il processo, la cui complessità è determinata dalle criticità dei gruppi merce verificati. Sono coinvolte diverse figure aziendali, chiamate a partecipare alla valutazione, ciascuna per la propria area di competenza. L’avvio del processo è dunque subordinato all’accettazione formale dell’importo da corrispondere pari a € </w:t>
      </w:r>
      <w:r>
        <w:rPr>
          <w:rFonts w:ascii="Verdana" w:hAnsi="Verdana"/>
          <w:sz w:val="20"/>
          <w:szCs w:val="20"/>
          <w:highlight w:val="yellow"/>
        </w:rPr>
        <w:t>XX,00</w:t>
      </w:r>
      <w:r>
        <w:rPr>
          <w:rFonts w:ascii="Verdana" w:hAnsi="Verdana"/>
          <w:sz w:val="20"/>
          <w:szCs w:val="20"/>
        </w:rPr>
        <w:t>.</w:t>
      </w:r>
    </w:p>
    <w:p w:rsidR="0047272B" w:rsidRDefault="0047272B" w:rsidP="0047272B">
      <w:pPr>
        <w:jc w:val="both"/>
        <w:rPr>
          <w:rFonts w:ascii="Verdana" w:hAnsi="Verdana"/>
          <w:sz w:val="20"/>
          <w:szCs w:val="20"/>
          <w:u w:val="single"/>
        </w:rPr>
      </w:pPr>
      <w:r>
        <w:rPr>
          <w:rFonts w:ascii="Verdana" w:hAnsi="Verdana"/>
          <w:sz w:val="20"/>
          <w:szCs w:val="20"/>
        </w:rPr>
        <w:t xml:space="preserve">Per </w:t>
      </w:r>
      <w:r w:rsidRPr="00FE4057">
        <w:rPr>
          <w:rFonts w:ascii="Verdana" w:hAnsi="Verdana"/>
          <w:sz w:val="20"/>
          <w:szCs w:val="20"/>
        </w:rPr>
        <w:t xml:space="preserve">saperne di più, vi invitiamo a consultare il documento Eni Spa 3 - Contributo processo di Qualifica al link: </w:t>
      </w:r>
      <w:hyperlink r:id="rId8" w:history="1">
        <w:r w:rsidRPr="00FE4057">
          <w:rPr>
            <w:rStyle w:val="Collegamentoipertestuale"/>
            <w:rFonts w:ascii="Verdana" w:hAnsi="Verdana"/>
            <w:color w:val="auto"/>
            <w:sz w:val="20"/>
            <w:szCs w:val="20"/>
          </w:rPr>
          <w:t>https://esupplier.eni.com/PFU_it_IT/qualifica.page</w:t>
        </w:r>
      </w:hyperlink>
      <w:r w:rsidRPr="00FE4057">
        <w:rPr>
          <w:rFonts w:ascii="Verdana" w:hAnsi="Verdana"/>
          <w:sz w:val="20"/>
          <w:szCs w:val="20"/>
          <w:u w:val="single"/>
        </w:rPr>
        <w:t>.</w:t>
      </w:r>
    </w:p>
    <w:p w:rsidR="0047272B" w:rsidRDefault="0047272B" w:rsidP="0047272B">
      <w:pPr>
        <w:jc w:val="both"/>
        <w:rPr>
          <w:rFonts w:ascii="Verdana" w:hAnsi="Verdana"/>
          <w:sz w:val="20"/>
          <w:szCs w:val="20"/>
          <w:u w:val="single"/>
        </w:rPr>
      </w:pPr>
    </w:p>
    <w:p w:rsidR="0047272B" w:rsidRDefault="0047272B" w:rsidP="0047272B">
      <w:pPr>
        <w:jc w:val="both"/>
        <w:rPr>
          <w:rFonts w:ascii="Verdana" w:hAnsi="Verdana"/>
          <w:b/>
          <w:bCs/>
          <w:sz w:val="20"/>
          <w:szCs w:val="20"/>
        </w:rPr>
      </w:pPr>
      <w:r>
        <w:rPr>
          <w:rFonts w:ascii="Verdana" w:hAnsi="Verdana"/>
          <w:b/>
          <w:bCs/>
          <w:sz w:val="20"/>
          <w:szCs w:val="20"/>
        </w:rPr>
        <w:t xml:space="preserve">Per l’avvio del processo di qualifica si richiede entro il </w:t>
      </w:r>
      <w:r>
        <w:rPr>
          <w:rFonts w:ascii="Verdana" w:hAnsi="Verdana"/>
          <w:b/>
          <w:bCs/>
          <w:sz w:val="20"/>
          <w:szCs w:val="20"/>
          <w:highlight w:val="yellow"/>
        </w:rPr>
        <w:t>xx/yy/zzzz (2 gg)</w:t>
      </w:r>
      <w:r>
        <w:rPr>
          <w:rFonts w:ascii="Verdana" w:hAnsi="Verdana"/>
          <w:b/>
          <w:bCs/>
          <w:sz w:val="20"/>
          <w:szCs w:val="20"/>
        </w:rPr>
        <w:t>:</w:t>
      </w:r>
    </w:p>
    <w:p w:rsidR="0047272B" w:rsidRDefault="0047272B" w:rsidP="0047272B">
      <w:pPr>
        <w:numPr>
          <w:ilvl w:val="0"/>
          <w:numId w:val="1"/>
        </w:numPr>
        <w:ind w:left="284" w:hanging="284"/>
        <w:jc w:val="both"/>
        <w:rPr>
          <w:rFonts w:ascii="Verdana" w:hAnsi="Verdana"/>
          <w:sz w:val="20"/>
          <w:szCs w:val="20"/>
        </w:rPr>
      </w:pPr>
      <w:r>
        <w:rPr>
          <w:rFonts w:ascii="Verdana" w:hAnsi="Verdana"/>
          <w:sz w:val="20"/>
          <w:szCs w:val="20"/>
        </w:rPr>
        <w:t xml:space="preserve">l’invio della lettera di accettazione delle spese da corrispondere (vd form allegato alla presente); </w:t>
      </w:r>
    </w:p>
    <w:p w:rsidR="0047272B" w:rsidRDefault="0047272B" w:rsidP="0047272B">
      <w:pPr>
        <w:numPr>
          <w:ilvl w:val="0"/>
          <w:numId w:val="1"/>
        </w:numPr>
        <w:ind w:left="284" w:hanging="284"/>
        <w:jc w:val="both"/>
        <w:rPr>
          <w:rFonts w:ascii="Verdana" w:hAnsi="Verdana"/>
          <w:sz w:val="20"/>
          <w:szCs w:val="20"/>
        </w:rPr>
      </w:pPr>
      <w:r>
        <w:rPr>
          <w:rFonts w:ascii="Verdana" w:hAnsi="Verdana"/>
          <w:sz w:val="20"/>
          <w:szCs w:val="20"/>
        </w:rPr>
        <w:t>la dichiarazione firmata dal legale rappresentante degli indicatori H&amp;S della Vs Società negli ultimi tre anni (vedi form allegato alla presente);</w:t>
      </w:r>
    </w:p>
    <w:p w:rsidR="0047272B" w:rsidRDefault="0047272B" w:rsidP="0047272B">
      <w:pPr>
        <w:autoSpaceDE w:val="0"/>
        <w:autoSpaceDN w:val="0"/>
        <w:jc w:val="both"/>
        <w:rPr>
          <w:rFonts w:ascii="Verdana" w:hAnsi="Verdana"/>
          <w:sz w:val="20"/>
          <w:szCs w:val="20"/>
          <w:highlight w:val="yellow"/>
        </w:rPr>
      </w:pPr>
    </w:p>
    <w:p w:rsidR="0047272B" w:rsidRDefault="0047272B" w:rsidP="0047272B">
      <w:pPr>
        <w:jc w:val="both"/>
        <w:rPr>
          <w:rFonts w:ascii="Verdana" w:hAnsi="Verdana"/>
          <w:sz w:val="20"/>
          <w:szCs w:val="20"/>
        </w:rPr>
      </w:pPr>
      <w:r>
        <w:rPr>
          <w:rFonts w:ascii="Verdana" w:hAnsi="Verdana"/>
          <w:sz w:val="20"/>
          <w:szCs w:val="20"/>
        </w:rPr>
        <w:t xml:space="preserve">Successivamente a questo, per completare il processo di qualifica, vi chiediamo di </w:t>
      </w:r>
      <w:r>
        <w:rPr>
          <w:rFonts w:ascii="Verdana" w:hAnsi="Verdana"/>
          <w:b/>
          <w:bCs/>
          <w:sz w:val="20"/>
          <w:szCs w:val="20"/>
        </w:rPr>
        <w:t xml:space="preserve">corrisponderci entro il giorno </w:t>
      </w:r>
      <w:r>
        <w:rPr>
          <w:rFonts w:ascii="Verdana" w:hAnsi="Verdana"/>
          <w:b/>
          <w:bCs/>
          <w:sz w:val="20"/>
          <w:szCs w:val="20"/>
          <w:highlight w:val="yellow"/>
        </w:rPr>
        <w:t>xx/yy/zzzz (15gg)</w:t>
      </w:r>
      <w:r>
        <w:rPr>
          <w:rFonts w:ascii="Verdana" w:hAnsi="Verdana"/>
          <w:sz w:val="20"/>
          <w:szCs w:val="20"/>
        </w:rPr>
        <w:t>,</w:t>
      </w:r>
      <w:r>
        <w:rPr>
          <w:rFonts w:ascii="Verdana" w:hAnsi="Verdana"/>
          <w:b/>
          <w:bCs/>
          <w:color w:val="FF0000"/>
          <w:sz w:val="20"/>
          <w:szCs w:val="20"/>
        </w:rPr>
        <w:t xml:space="preserve"> </w:t>
      </w:r>
      <w:r>
        <w:rPr>
          <w:rFonts w:ascii="Verdana" w:hAnsi="Verdana"/>
          <w:b/>
          <w:bCs/>
          <w:sz w:val="20"/>
          <w:szCs w:val="20"/>
        </w:rPr>
        <w:t xml:space="preserve">le informazioni e i documenti richiesti nell’allegato </w:t>
      </w:r>
      <w:r>
        <w:rPr>
          <w:rFonts w:ascii="Verdana" w:hAnsi="Verdana"/>
          <w:b/>
          <w:bCs/>
          <w:i/>
          <w:iCs/>
          <w:sz w:val="20"/>
          <w:szCs w:val="20"/>
        </w:rPr>
        <w:t>richieste documentali</w:t>
      </w:r>
      <w:r>
        <w:rPr>
          <w:rFonts w:ascii="Verdana" w:hAnsi="Verdana"/>
          <w:b/>
          <w:bCs/>
          <w:sz w:val="20"/>
          <w:szCs w:val="20"/>
        </w:rPr>
        <w:t xml:space="preserve"> </w:t>
      </w:r>
      <w:r>
        <w:rPr>
          <w:rFonts w:ascii="Verdana" w:hAnsi="Verdana"/>
          <w:sz w:val="20"/>
          <w:szCs w:val="20"/>
        </w:rPr>
        <w:t>per consentirci</w:t>
      </w:r>
      <w:r>
        <w:rPr>
          <w:rFonts w:ascii="Verdana" w:hAnsi="Verdana"/>
          <w:b/>
          <w:bCs/>
          <w:sz w:val="20"/>
          <w:szCs w:val="20"/>
        </w:rPr>
        <w:t xml:space="preserve"> </w:t>
      </w:r>
      <w:r>
        <w:rPr>
          <w:rFonts w:ascii="Verdana" w:hAnsi="Verdana"/>
          <w:sz w:val="20"/>
          <w:szCs w:val="20"/>
        </w:rPr>
        <w:t xml:space="preserve">di approfondire, in primo luogo tramite un’analisi documentale, le seguenti aree: Organizzativa/Gestionale, Tecnica, Qualità e Sicurezza e Ambiente. </w:t>
      </w:r>
    </w:p>
    <w:p w:rsidR="0047272B" w:rsidRDefault="0047272B" w:rsidP="0047272B">
      <w:pPr>
        <w:jc w:val="both"/>
        <w:rPr>
          <w:rFonts w:ascii="Verdana" w:hAnsi="Verdana"/>
          <w:sz w:val="20"/>
          <w:szCs w:val="20"/>
        </w:rPr>
      </w:pPr>
    </w:p>
    <w:p w:rsidR="0047272B" w:rsidRDefault="0047272B" w:rsidP="0047272B">
      <w:pPr>
        <w:autoSpaceDE w:val="0"/>
        <w:autoSpaceDN w:val="0"/>
        <w:jc w:val="both"/>
        <w:rPr>
          <w:rFonts w:ascii="Verdana" w:hAnsi="Verdana"/>
          <w:i/>
          <w:iCs/>
          <w:color w:val="0070C0"/>
          <w:sz w:val="20"/>
          <w:szCs w:val="20"/>
        </w:rPr>
      </w:pPr>
      <w:r>
        <w:rPr>
          <w:rFonts w:ascii="Verdana" w:hAnsi="Verdana"/>
          <w:color w:val="0070C0"/>
          <w:sz w:val="20"/>
          <w:szCs w:val="20"/>
          <w:highlight w:val="yellow"/>
        </w:rPr>
        <w:t>(</w:t>
      </w:r>
      <w:r>
        <w:rPr>
          <w:rFonts w:ascii="Verdana" w:hAnsi="Verdana"/>
          <w:i/>
          <w:iCs/>
          <w:color w:val="0070C0"/>
          <w:sz w:val="20"/>
          <w:szCs w:val="20"/>
          <w:highlight w:val="yellow"/>
        </w:rPr>
        <w:t>In caso di processo di estensione di qualifica riportare il paragrafo sottostante):</w:t>
      </w:r>
    </w:p>
    <w:p w:rsidR="0047272B" w:rsidRDefault="0047272B" w:rsidP="0047272B">
      <w:pPr>
        <w:autoSpaceDE w:val="0"/>
        <w:autoSpaceDN w:val="0"/>
        <w:jc w:val="both"/>
        <w:rPr>
          <w:rFonts w:ascii="Verdana" w:hAnsi="Verdana"/>
          <w:color w:val="5B9BD5"/>
          <w:sz w:val="20"/>
          <w:szCs w:val="20"/>
          <w:u w:val="single"/>
        </w:rPr>
      </w:pPr>
      <w:r>
        <w:rPr>
          <w:rFonts w:ascii="Verdana" w:hAnsi="Verdana"/>
          <w:sz w:val="20"/>
          <w:szCs w:val="20"/>
        </w:rPr>
        <w:t>Vi invitiamo ad allegare le Dichiarazioni di Compliance</w:t>
      </w:r>
      <w:r w:rsidR="00A045D1" w:rsidRPr="00A045D1">
        <w:rPr>
          <w:rFonts w:ascii="Verdana" w:hAnsi="Verdana"/>
          <w:sz w:val="20"/>
          <w:szCs w:val="20"/>
        </w:rPr>
        <w:t xml:space="preserve"> e</w:t>
      </w:r>
      <w:r w:rsidR="00405713">
        <w:rPr>
          <w:rFonts w:ascii="Verdana" w:hAnsi="Verdana"/>
          <w:sz w:val="20"/>
          <w:szCs w:val="20"/>
        </w:rPr>
        <w:t>,</w:t>
      </w:r>
      <w:r w:rsidR="00A045D1" w:rsidRPr="00A045D1">
        <w:rPr>
          <w:rFonts w:ascii="Verdana" w:hAnsi="Verdana"/>
          <w:sz w:val="20"/>
          <w:szCs w:val="20"/>
        </w:rPr>
        <w:t xml:space="preserve"> qual</w:t>
      </w:r>
      <w:r w:rsidR="00405713">
        <w:rPr>
          <w:rFonts w:ascii="Verdana" w:hAnsi="Verdana"/>
          <w:sz w:val="20"/>
          <w:szCs w:val="20"/>
        </w:rPr>
        <w:t xml:space="preserve">ora non già trasmessa a Eni SpA, </w:t>
      </w:r>
      <w:r w:rsidR="00A045D1" w:rsidRPr="00FE4057">
        <w:rPr>
          <w:rFonts w:ascii="Verdana" w:hAnsi="Verdana"/>
          <w:sz w:val="20"/>
          <w:szCs w:val="20"/>
        </w:rPr>
        <w:t>copia del Codice</w:t>
      </w:r>
      <w:r w:rsidR="00B050A3" w:rsidRPr="00FE4057">
        <w:rPr>
          <w:rFonts w:ascii="Verdana" w:hAnsi="Verdana"/>
          <w:sz w:val="20"/>
          <w:szCs w:val="20"/>
        </w:rPr>
        <w:t xml:space="preserve"> Condotta Fornitori</w:t>
      </w:r>
      <w:r w:rsidR="00A045D1" w:rsidRPr="00FE4057">
        <w:rPr>
          <w:rFonts w:ascii="Verdana" w:hAnsi="Verdana"/>
          <w:sz w:val="20"/>
          <w:szCs w:val="20"/>
        </w:rPr>
        <w:t>,</w:t>
      </w:r>
      <w:r w:rsidRPr="00FE4057">
        <w:rPr>
          <w:rFonts w:ascii="Verdana" w:hAnsi="Verdana"/>
          <w:sz w:val="20"/>
          <w:szCs w:val="20"/>
        </w:rPr>
        <w:t xml:space="preserve"> firmate dal legale rappresentante, nell’apposita sezione “La mia Azienda – I miei Documenti” del portale eSupplier, dove è possibile condividere con Eni informazioni e documenti relativi alla Vs società. Se non siete ancora registrati al portale eSupplier, vi invitiamo a farlo seguendo le istruzioni al link: </w:t>
      </w:r>
      <w:hyperlink r:id="rId9" w:history="1">
        <w:r w:rsidRPr="00FE4057">
          <w:rPr>
            <w:rStyle w:val="Collegamentoipertestuale"/>
            <w:rFonts w:ascii="Verdana" w:hAnsi="Verdana"/>
            <w:sz w:val="20"/>
            <w:szCs w:val="20"/>
          </w:rPr>
          <w:t>https://esupplier.eni.com/PFU_it_IT/enisupplier.page</w:t>
        </w:r>
      </w:hyperlink>
      <w:r w:rsidRPr="00FE4057">
        <w:rPr>
          <w:rFonts w:ascii="Verdana" w:hAnsi="Verdana"/>
          <w:color w:val="5B9BD5"/>
          <w:sz w:val="20"/>
          <w:szCs w:val="20"/>
          <w:u w:val="single"/>
        </w:rPr>
        <w:t>?.</w:t>
      </w:r>
      <w:bookmarkStart w:id="0" w:name="_GoBack"/>
      <w:bookmarkEnd w:id="0"/>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lastRenderedPageBreak/>
        <w:t>In caso di mancato invio della documentazione richiesta, il processo di qualifica potrà essere interrotto o concluso con esito negativo.</w:t>
      </w:r>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t>Nell’ottica di sviluppare un rapporto con i propri fornitori, Eni condividerà l’esito del processo, completo di eventuali non conformità riscontrate, raccomandazioni e/o aree di miglioramento individuate.</w:t>
      </w:r>
    </w:p>
    <w:p w:rsidR="0047272B" w:rsidRDefault="0047272B" w:rsidP="0047272B">
      <w:pPr>
        <w:jc w:val="both"/>
        <w:rPr>
          <w:rFonts w:ascii="Verdana" w:hAnsi="Verdana"/>
          <w:sz w:val="20"/>
          <w:szCs w:val="20"/>
          <w:highlight w:val="yellow"/>
        </w:rPr>
      </w:pPr>
    </w:p>
    <w:p w:rsidR="0047272B" w:rsidRDefault="0047272B" w:rsidP="0047272B">
      <w:pPr>
        <w:jc w:val="both"/>
        <w:rPr>
          <w:rFonts w:ascii="Verdana" w:hAnsi="Verdana"/>
          <w:sz w:val="20"/>
          <w:szCs w:val="20"/>
        </w:rPr>
      </w:pPr>
      <w:r>
        <w:rPr>
          <w:rFonts w:ascii="Verdana" w:hAnsi="Verdana"/>
          <w:sz w:val="20"/>
          <w:szCs w:val="20"/>
        </w:rPr>
        <w:t>Premesso che Eni S.p.A., nell’ambito del presente processo di qualifica, intratterrà rapporti direttamente ed esclusivamente con la Società candidata, contestualmente all’invio della sopra indicata documentazione, Vi chiediamo di comunicarci se intendete avvalervi, o vi siate avvalsi, di un consulente (persona fisica o Società) per il processo di qualifica, sulla base di un contratto o di un rapporto di mero fatto, indicandoci in tal caso denominazione, ragione sociale e p.iva./codice fiscale di tale soggetto.</w:t>
      </w:r>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p>
    <w:p w:rsidR="0047272B" w:rsidRDefault="0047272B" w:rsidP="0047272B">
      <w:pPr>
        <w:jc w:val="both"/>
        <w:rPr>
          <w:rFonts w:ascii="Verdana" w:hAnsi="Verdana"/>
          <w:sz w:val="20"/>
          <w:szCs w:val="20"/>
        </w:rPr>
      </w:pPr>
      <w:r>
        <w:rPr>
          <w:rFonts w:ascii="Verdana" w:hAnsi="Verdana"/>
          <w:sz w:val="20"/>
          <w:szCs w:val="20"/>
        </w:rPr>
        <w:t xml:space="preserve">Per eventuali comunicazioni o richieste di informazioni/chiarimenti ai fini del presente processo di qualifica, Vi raccomandiamo di contattare solo ed esclusivamente lo scrivente Ufficio VEMA- </w:t>
      </w:r>
      <w:r>
        <w:rPr>
          <w:rFonts w:ascii="Verdana" w:hAnsi="Verdana"/>
          <w:sz w:val="20"/>
          <w:szCs w:val="20"/>
          <w:highlight w:val="yellow"/>
        </w:rPr>
        <w:t>XX</w:t>
      </w:r>
      <w:r>
        <w:rPr>
          <w:rFonts w:ascii="Verdana" w:hAnsi="Verdana"/>
          <w:sz w:val="20"/>
          <w:szCs w:val="20"/>
        </w:rPr>
        <w:t xml:space="preserve">, nella persona di </w:t>
      </w:r>
      <w:r>
        <w:rPr>
          <w:rFonts w:ascii="Verdana" w:hAnsi="Verdana"/>
          <w:sz w:val="20"/>
          <w:szCs w:val="20"/>
          <w:highlight w:val="yellow"/>
        </w:rPr>
        <w:t>xxxxxxxxxxxxx</w:t>
      </w:r>
      <w:r>
        <w:rPr>
          <w:rFonts w:ascii="Verdana" w:hAnsi="Verdana"/>
          <w:sz w:val="20"/>
          <w:szCs w:val="20"/>
        </w:rPr>
        <w:t>.</w:t>
      </w:r>
    </w:p>
    <w:p w:rsidR="0047272B" w:rsidRDefault="0047272B" w:rsidP="0047272B">
      <w:pPr>
        <w:jc w:val="both"/>
        <w:rPr>
          <w:rFonts w:ascii="Verdana" w:hAnsi="Verdana"/>
          <w:sz w:val="20"/>
          <w:szCs w:val="20"/>
        </w:rPr>
      </w:pPr>
    </w:p>
    <w:p w:rsidR="0047272B" w:rsidRDefault="0047272B" w:rsidP="0047272B"/>
    <w:p w:rsidR="0047272B" w:rsidRDefault="0047272B" w:rsidP="0047272B">
      <w:pPr>
        <w:rPr>
          <w:rFonts w:ascii="Verdana" w:hAnsi="Verdana"/>
          <w:sz w:val="20"/>
          <w:szCs w:val="20"/>
        </w:rPr>
      </w:pPr>
      <w:r>
        <w:rPr>
          <w:rFonts w:ascii="Verdana" w:hAnsi="Verdana"/>
          <w:sz w:val="20"/>
          <w:szCs w:val="20"/>
        </w:rPr>
        <w:t>Distinti saluti</w:t>
      </w:r>
    </w:p>
    <w:p w:rsidR="0047272B" w:rsidRDefault="0047272B" w:rsidP="0047272B">
      <w:pPr>
        <w:rPr>
          <w:b/>
          <w:bCs/>
          <w:i/>
          <w:iCs/>
          <w:color w:val="203864"/>
          <w:sz w:val="24"/>
          <w:szCs w:val="24"/>
        </w:rPr>
      </w:pPr>
    </w:p>
    <w:p w:rsidR="0047272B" w:rsidRDefault="0047272B" w:rsidP="0047272B">
      <w:pPr>
        <w:jc w:val="both"/>
        <w:rPr>
          <w:b/>
          <w:bCs/>
          <w:u w:val="single"/>
        </w:rPr>
      </w:pPr>
      <w:r>
        <w:rPr>
          <w:b/>
          <w:bCs/>
          <w:u w:val="single"/>
        </w:rPr>
        <w:t>PER L’INVIO DEI DOCUMENTI</w:t>
      </w:r>
    </w:p>
    <w:p w:rsidR="0047272B" w:rsidRDefault="0047272B" w:rsidP="0047272B">
      <w:pPr>
        <w:jc w:val="both"/>
        <w:rPr>
          <w:i/>
          <w:iCs/>
        </w:rPr>
      </w:pPr>
    </w:p>
    <w:p w:rsidR="0047272B" w:rsidRDefault="0047272B" w:rsidP="0047272B">
      <w:pPr>
        <w:numPr>
          <w:ilvl w:val="0"/>
          <w:numId w:val="2"/>
        </w:numPr>
        <w:ind w:left="426" w:hanging="426"/>
        <w:jc w:val="both"/>
        <w:rPr>
          <w:b/>
          <w:bCs/>
          <w:i/>
          <w:iCs/>
        </w:rPr>
      </w:pPr>
      <w:r>
        <w:t>Per l’invio dei documenti richiesti, vi chiediamo di utilizzare il seguente link:</w:t>
      </w:r>
      <w:r>
        <w:rPr>
          <w:b/>
          <w:bCs/>
        </w:rPr>
        <w:t xml:space="preserve"> </w:t>
      </w:r>
      <w:r>
        <w:rPr>
          <w:b/>
          <w:bCs/>
          <w:color w:val="FF0000"/>
          <w:highlight w:val="yellow"/>
        </w:rPr>
        <w:t>inserire link TS drive</w:t>
      </w:r>
      <w:r>
        <w:rPr>
          <w:b/>
          <w:bCs/>
        </w:rPr>
        <w:t xml:space="preserve"> </w:t>
      </w:r>
      <w:r>
        <w:t>e di comunicarci l’avvenuto caricamento via email.</w:t>
      </w:r>
    </w:p>
    <w:p w:rsidR="0047272B" w:rsidRDefault="0047272B" w:rsidP="0047272B">
      <w:pPr>
        <w:numPr>
          <w:ilvl w:val="0"/>
          <w:numId w:val="2"/>
        </w:numPr>
        <w:ind w:left="426" w:hanging="426"/>
        <w:jc w:val="both"/>
        <w:rPr>
          <w:b/>
          <w:bCs/>
          <w:i/>
          <w:iCs/>
        </w:rPr>
      </w:pPr>
      <w:r>
        <w:t>Per le check list richieste, vi preghiamo di numerare i file secondo i punti indicati dalla check-list.</w:t>
      </w:r>
    </w:p>
    <w:p w:rsidR="004066E9" w:rsidRDefault="004066E9"/>
    <w:sectPr w:rsidR="004066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A0" w:rsidRDefault="00C15FA0" w:rsidP="00C15FA0">
      <w:r>
        <w:separator/>
      </w:r>
    </w:p>
  </w:endnote>
  <w:endnote w:type="continuationSeparator" w:id="0">
    <w:p w:rsidR="00C15FA0" w:rsidRDefault="00C15FA0" w:rsidP="00C1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A0" w:rsidRDefault="00C15FA0" w:rsidP="00C15FA0">
      <w:r>
        <w:separator/>
      </w:r>
    </w:p>
  </w:footnote>
  <w:footnote w:type="continuationSeparator" w:id="0">
    <w:p w:rsidR="00C15FA0" w:rsidRDefault="00C15FA0" w:rsidP="00C1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701CD"/>
    <w:multiLevelType w:val="hybridMultilevel"/>
    <w:tmpl w:val="8468F5EA"/>
    <w:lvl w:ilvl="0" w:tplc="1CB487F6">
      <w:numFmt w:val="bullet"/>
      <w:lvlText w:val="•"/>
      <w:lvlJc w:val="left"/>
      <w:pPr>
        <w:ind w:left="1065" w:hanging="705"/>
      </w:pPr>
      <w:rPr>
        <w:rFonts w:ascii="Verdana" w:eastAsia="Calibri" w:hAnsi="Verdana"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99E1386"/>
    <w:multiLevelType w:val="hybridMultilevel"/>
    <w:tmpl w:val="741AA5CC"/>
    <w:lvl w:ilvl="0" w:tplc="10D29694">
      <w:start w:val="1"/>
      <w:numFmt w:val="decimal"/>
      <w:lvlText w:val="%1."/>
      <w:lvlJc w:val="left"/>
      <w:pPr>
        <w:ind w:left="1080" w:hanging="360"/>
      </w:pPr>
      <w:rPr>
        <w:b w:val="0"/>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2B"/>
    <w:rsid w:val="00405713"/>
    <w:rsid w:val="004066E9"/>
    <w:rsid w:val="0047272B"/>
    <w:rsid w:val="00A045D1"/>
    <w:rsid w:val="00B050A3"/>
    <w:rsid w:val="00C15FA0"/>
    <w:rsid w:val="00FE40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8139DD-076D-4788-82EE-F6E51290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72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272B"/>
    <w:rPr>
      <w:color w:val="0563C1"/>
      <w:u w:val="single"/>
    </w:rPr>
  </w:style>
  <w:style w:type="paragraph" w:styleId="Testofumetto">
    <w:name w:val="Balloon Text"/>
    <w:basedOn w:val="Normale"/>
    <w:link w:val="TestofumettoCarattere"/>
    <w:uiPriority w:val="99"/>
    <w:semiHidden/>
    <w:unhideWhenUsed/>
    <w:rsid w:val="00FE40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pplier.eni.com/PFU_it_IT/qualifica.page" TargetMode="External"/><Relationship Id="rId3" Type="http://schemas.openxmlformats.org/officeDocument/2006/relationships/settings" Target="settings.xml"/><Relationship Id="rId7" Type="http://schemas.openxmlformats.org/officeDocument/2006/relationships/hyperlink" Target="http://www.e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upplier.eni.com/PFU_it_IT/enisupplier.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Profita Silvana</dc:creator>
  <cp:keywords/>
  <dc:description/>
  <cp:lastModifiedBy>Polizzi Giovanni</cp:lastModifiedBy>
  <cp:revision>2</cp:revision>
  <dcterms:created xsi:type="dcterms:W3CDTF">2020-05-06T13:03:00Z</dcterms:created>
  <dcterms:modified xsi:type="dcterms:W3CDTF">2020-05-06T13:03:00Z</dcterms:modified>
</cp:coreProperties>
</file>